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Projektforslag A - fuld udskiftning af hovedpumper</w:t>
      </w:r>
    </w:p>
    <w:p>
      <w:pPr>
        <w:spacing w:after="160"/>
      </w:pPr>
      <w:r>
        <w:rPr>
          <w:rFonts w:ascii="Arial" w:hAnsi="Arial"/>
          <w:color w:val="5A6464"/>
          <w:sz w:val="22"/>
        </w:rPr>
        <w:t>Fjordby Varme A.m.b.a. | Hovedpumpestation Øst | Beslutningsoplæg</w:t>
      </w:r>
    </w:p>
    <w:p>
      <w:pPr>
        <w:spacing w:after="240"/>
      </w:pPr>
      <w:r>
        <w:rPr>
          <w:b/>
          <w:color w:val="A14A24"/>
          <w:sz w:val="17"/>
        </w:rPr>
        <w:t>FIKTIVT ØVELSESMATERIALE - må ikke bruges som driftsgrundlag</w:t>
      </w:r>
    </w:p>
    <w:tbl>
      <w:tblPr>
        <w:tblW w:type="auto" w:w="0"/>
        <w:jc w:val="center"/>
        <w:tblLayout w:type="fixed"/>
        <w:tblLook w:firstColumn="1" w:firstRow="1" w:lastColumn="0" w:lastRow="0" w:noHBand="0" w:noVBand="1" w:val="04A0"/>
      </w:tblPr>
      <w:tblGrid>
        <w:gridCol w:w="5040"/>
        <w:gridCol w:w="5040"/>
      </w:tblGrid>
      <w:tr>
        <w:tc>
          <w:tcPr>
            <w:tcW w:type="dxa" w:w="2880"/>
            <w:shd w:fill="EAF3F2"/>
            <w:tcMar>
              <w:top w:w="90" w:type="dxa"/>
              <w:start w:w="110" w:type="dxa"/>
              <w:bottom w:w="90" w:type="dxa"/>
              <w:end w:w="110" w:type="dxa"/>
            </w:tcMar>
            <w:vAlign w:val="center"/>
          </w:tcPr>
          <w:p>
            <w:pPr>
              <w:spacing w:after="0"/>
            </w:pPr>
            <w:r>
              <w:rPr>
                <w:rFonts w:ascii="Arial" w:hAnsi="Arial"/>
                <w:b/>
                <w:sz w:val="19"/>
              </w:rPr>
              <w:t>Løsning</w:t>
            </w:r>
          </w:p>
        </w:tc>
        <w:tc>
          <w:tcPr>
            <w:tcW w:type="dxa" w:w="6912"/>
            <w:tcMar>
              <w:top w:w="90" w:type="dxa"/>
              <w:start w:w="110" w:type="dxa"/>
              <w:bottom w:w="90" w:type="dxa"/>
              <w:end w:w="110" w:type="dxa"/>
            </w:tcMar>
            <w:vAlign w:val="center"/>
          </w:tcPr>
          <w:p>
            <w:pPr>
              <w:spacing w:after="0"/>
            </w:pPr>
            <w:r>
              <w:rPr>
                <w:rFonts w:ascii="Arial" w:hAnsi="Arial"/>
                <w:sz w:val="19"/>
              </w:rPr>
              <w:t>Udskiftning af tre hovedpumper, nye frekvensomformere og opgradering af styring</w:t>
            </w:r>
          </w:p>
        </w:tc>
      </w:tr>
      <w:tr>
        <w:tc>
          <w:tcPr>
            <w:tcW w:type="dxa" w:w="2880"/>
            <w:shd w:fill="EAF3F2"/>
            <w:tcMar>
              <w:top w:w="90" w:type="dxa"/>
              <w:start w:w="110" w:type="dxa"/>
              <w:bottom w:w="90" w:type="dxa"/>
              <w:end w:w="110" w:type="dxa"/>
            </w:tcMar>
            <w:vAlign w:val="center"/>
          </w:tcPr>
          <w:p>
            <w:pPr>
              <w:spacing w:after="0"/>
            </w:pPr>
            <w:r>
              <w:rPr>
                <w:rFonts w:ascii="Arial" w:hAnsi="Arial"/>
                <w:b/>
                <w:sz w:val="19"/>
              </w:rPr>
              <w:t>Investeringsramme</w:t>
            </w:r>
          </w:p>
        </w:tc>
        <w:tc>
          <w:tcPr>
            <w:tcW w:type="dxa" w:w="6912"/>
            <w:tcMar>
              <w:top w:w="90" w:type="dxa"/>
              <w:start w:w="110" w:type="dxa"/>
              <w:bottom w:w="90" w:type="dxa"/>
              <w:end w:w="110" w:type="dxa"/>
            </w:tcMar>
            <w:vAlign w:val="center"/>
          </w:tcPr>
          <w:p>
            <w:pPr>
              <w:spacing w:after="0"/>
            </w:pPr>
            <w:r>
              <w:rPr>
                <w:rFonts w:ascii="Arial" w:hAnsi="Arial"/>
                <w:sz w:val="19"/>
              </w:rPr>
              <w:t>4,8 mio. kr. ekskl. moms</w:t>
            </w:r>
          </w:p>
        </w:tc>
      </w:tr>
      <w:tr>
        <w:tc>
          <w:tcPr>
            <w:tcW w:type="dxa" w:w="2880"/>
            <w:shd w:fill="EAF3F2"/>
            <w:tcMar>
              <w:top w:w="90" w:type="dxa"/>
              <w:start w:w="110" w:type="dxa"/>
              <w:bottom w:w="90" w:type="dxa"/>
              <w:end w:w="110" w:type="dxa"/>
            </w:tcMar>
            <w:vAlign w:val="center"/>
          </w:tcPr>
          <w:p>
            <w:pPr>
              <w:spacing w:after="0"/>
            </w:pPr>
            <w:r>
              <w:rPr>
                <w:rFonts w:ascii="Arial" w:hAnsi="Arial"/>
                <w:b/>
                <w:sz w:val="19"/>
              </w:rPr>
              <w:t>Gennemførelse</w:t>
            </w:r>
          </w:p>
        </w:tc>
        <w:tc>
          <w:tcPr>
            <w:tcW w:type="dxa" w:w="6912"/>
            <w:tcMar>
              <w:top w:w="90" w:type="dxa"/>
              <w:start w:w="110" w:type="dxa"/>
              <w:bottom w:w="90" w:type="dxa"/>
              <w:end w:w="110" w:type="dxa"/>
            </w:tcMar>
            <w:vAlign w:val="center"/>
          </w:tcPr>
          <w:p>
            <w:pPr>
              <w:spacing w:after="0"/>
            </w:pPr>
            <w:r>
              <w:rPr>
                <w:rFonts w:ascii="Arial" w:hAnsi="Arial"/>
                <w:sz w:val="19"/>
              </w:rPr>
              <w:t>14 uger fra kontrakt til idriftsættelse</w:t>
            </w:r>
          </w:p>
        </w:tc>
      </w:tr>
      <w:tr>
        <w:tc>
          <w:tcPr>
            <w:tcW w:type="dxa" w:w="2880"/>
            <w:shd w:fill="EAF3F2"/>
            <w:tcMar>
              <w:top w:w="90" w:type="dxa"/>
              <w:start w:w="110" w:type="dxa"/>
              <w:bottom w:w="90" w:type="dxa"/>
              <w:end w:w="110" w:type="dxa"/>
            </w:tcMar>
            <w:vAlign w:val="center"/>
          </w:tcPr>
          <w:p>
            <w:pPr>
              <w:spacing w:after="0"/>
            </w:pPr>
            <w:r>
              <w:rPr>
                <w:rFonts w:ascii="Arial" w:hAnsi="Arial"/>
                <w:b/>
                <w:sz w:val="19"/>
              </w:rPr>
              <w:t>Forventet elbesparelse</w:t>
            </w:r>
          </w:p>
        </w:tc>
        <w:tc>
          <w:tcPr>
            <w:tcW w:type="dxa" w:w="6912"/>
            <w:tcMar>
              <w:top w:w="90" w:type="dxa"/>
              <w:start w:w="110" w:type="dxa"/>
              <w:bottom w:w="90" w:type="dxa"/>
              <w:end w:w="110" w:type="dxa"/>
            </w:tcMar>
            <w:vAlign w:val="center"/>
          </w:tcPr>
          <w:p>
            <w:pPr>
              <w:spacing w:after="0"/>
            </w:pPr>
            <w:r>
              <w:rPr>
                <w:rFonts w:ascii="Arial" w:hAnsi="Arial"/>
                <w:sz w:val="19"/>
              </w:rPr>
              <w:t>18 % i forhold til oplyst baseline</w:t>
            </w:r>
          </w:p>
        </w:tc>
      </w:tr>
      <w:tr>
        <w:tc>
          <w:tcPr>
            <w:tcW w:type="dxa" w:w="2880"/>
            <w:shd w:fill="EAF3F2"/>
            <w:tcMar>
              <w:top w:w="90" w:type="dxa"/>
              <w:start w:w="110" w:type="dxa"/>
              <w:bottom w:w="90" w:type="dxa"/>
              <w:end w:w="110" w:type="dxa"/>
            </w:tcMar>
            <w:vAlign w:val="center"/>
          </w:tcPr>
          <w:p>
            <w:pPr>
              <w:spacing w:after="0"/>
            </w:pPr>
            <w:r>
              <w:rPr>
                <w:rFonts w:ascii="Arial" w:hAnsi="Arial"/>
                <w:b/>
                <w:sz w:val="19"/>
              </w:rPr>
              <w:t>Forventede afbrydelser</w:t>
            </w:r>
          </w:p>
        </w:tc>
        <w:tc>
          <w:tcPr>
            <w:tcW w:type="dxa" w:w="6912"/>
            <w:tcMar>
              <w:top w:w="90" w:type="dxa"/>
              <w:start w:w="110" w:type="dxa"/>
              <w:bottom w:w="90" w:type="dxa"/>
              <w:end w:w="110" w:type="dxa"/>
            </w:tcMar>
            <w:vAlign w:val="center"/>
          </w:tcPr>
          <w:p>
            <w:pPr>
              <w:spacing w:after="0"/>
            </w:pPr>
            <w:r>
              <w:rPr>
                <w:rFonts w:ascii="Arial" w:hAnsi="Arial"/>
                <w:sz w:val="19"/>
              </w:rPr>
              <w:t>Tre planlagte afbrydelser á op til 6 timer</w:t>
            </w:r>
          </w:p>
        </w:tc>
      </w:tr>
    </w:tbl>
    <w:p/>
    <w:p>
      <w:pPr>
        <w:pStyle w:val="Heading1"/>
      </w:pPr>
      <w:r>
        <w:t>Baggrund og mål</w:t>
      </w:r>
    </w:p>
    <w:p>
      <w:r>
        <w:t>De tre eksisterende hovedpumper er fra 2011. Forslaget har som mål at reducere elforbruget, øge redundansen og skabe en mere ensartet regulering ved lav last. Den oplyste baseline for pumpestationens elforbrug er 1.420 MWh/år.</w:t>
      </w:r>
    </w:p>
    <w:p>
      <w:pPr>
        <w:pStyle w:val="Heading1"/>
      </w:pPr>
      <w:r>
        <w:t>Omfang</w:t>
      </w:r>
    </w:p>
    <w:p>
      <w:pPr>
        <w:pStyle w:val="ListBullet"/>
        <w:ind w:left="0"/>
      </w:pPr>
      <w:r>
        <w:t>Tre nye højeffektive pumper dimensioneret til normal drift og spidslast.</w:t>
      </w:r>
    </w:p>
    <w:p>
      <w:pPr>
        <w:pStyle w:val="ListBullet"/>
        <w:ind w:left="0"/>
      </w:pPr>
      <w:r>
        <w:t>Tre nye frekvensomformere.</w:t>
      </w:r>
    </w:p>
    <w:p>
      <w:pPr>
        <w:pStyle w:val="ListBullet"/>
        <w:ind w:left="0"/>
      </w:pPr>
      <w:r>
        <w:t>Ny lokal styring og integration til eksisterende SCADA.</w:t>
      </w:r>
    </w:p>
    <w:p>
      <w:pPr>
        <w:pStyle w:val="ListBullet"/>
        <w:ind w:left="0"/>
      </w:pPr>
      <w:r>
        <w:t>Opdatering af relevante el-tavler og beskyttelse.</w:t>
      </w:r>
    </w:p>
    <w:p>
      <w:pPr>
        <w:pStyle w:val="ListBullet"/>
        <w:ind w:left="0"/>
      </w:pPr>
      <w:r>
        <w:t>Indregulering, test og oplæring af driftspersonale.</w:t>
      </w:r>
    </w:p>
    <w:p>
      <w:pPr>
        <w:pStyle w:val="ListBullet"/>
        <w:ind w:left="0"/>
      </w:pPr>
      <w:r>
        <w:t>Bortskaffelse af eksisterende pumper.</w:t>
      </w:r>
    </w:p>
    <w:p>
      <w:pPr>
        <w:pStyle w:val="Heading1"/>
      </w:pPr>
      <w:r>
        <w:t>Forudsætninger</w:t>
      </w:r>
    </w:p>
    <w:p>
      <w:pPr>
        <w:pStyle w:val="ListBullet"/>
        <w:ind w:left="0"/>
      </w:pPr>
      <w:r>
        <w:t>Besparelsesestimatet bygger på 2025-drift og baseline på 1.420 MWh/år.</w:t>
      </w:r>
    </w:p>
    <w:p>
      <w:pPr>
        <w:pStyle w:val="ListBullet"/>
        <w:ind w:left="0"/>
      </w:pPr>
      <w:r>
        <w:t>Den eksisterende hovedledning og ventiler kan genbruges uden større ombygning.</w:t>
      </w:r>
    </w:p>
    <w:p>
      <w:pPr>
        <w:pStyle w:val="ListBullet"/>
        <w:ind w:left="0"/>
      </w:pPr>
      <w:r>
        <w:t>Arbejdet kan gennemføres uden for den koldeste periode.</w:t>
      </w:r>
    </w:p>
    <w:p>
      <w:pPr>
        <w:pStyle w:val="ListBullet"/>
        <w:ind w:left="0"/>
      </w:pPr>
      <w:r>
        <w:t>Der kan accepteres tre varslede afbrydelser á op til 6 timer.</w:t>
      </w:r>
    </w:p>
    <w:p>
      <w:pPr>
        <w:pStyle w:val="Heading1"/>
      </w:pPr>
      <w:r>
        <w:t>Økonomi</w:t>
      </w:r>
    </w:p>
    <w:tbl>
      <w:tblPr>
        <w:tblW w:type="auto" w:w="0"/>
        <w:jc w:val="center"/>
        <w:tblLayout w:type="fixed"/>
        <w:tblLook w:firstColumn="1" w:firstRow="1" w:lastColumn="0" w:lastRow="0" w:noHBand="0" w:noVBand="1" w:val="04A0"/>
      </w:tblPr>
      <w:tblGrid>
        <w:gridCol w:w="5040"/>
        <w:gridCol w:w="5040"/>
      </w:tblGrid>
      <w:tr>
        <w:tc>
          <w:tcPr>
            <w:tcW w:type="dxa" w:w="2880"/>
            <w:shd w:fill="EAF3F2"/>
            <w:tcMar>
              <w:top w:w="90" w:type="dxa"/>
              <w:start w:w="110" w:type="dxa"/>
              <w:bottom w:w="90" w:type="dxa"/>
              <w:end w:w="110" w:type="dxa"/>
            </w:tcMar>
            <w:vAlign w:val="center"/>
          </w:tcPr>
          <w:p>
            <w:pPr>
              <w:spacing w:after="0"/>
            </w:pPr>
            <w:r>
              <w:rPr>
                <w:rFonts w:ascii="Arial" w:hAnsi="Arial"/>
                <w:b/>
                <w:sz w:val="19"/>
              </w:rPr>
              <w:t>Pumper og frekvensomformere</w:t>
            </w:r>
          </w:p>
        </w:tc>
        <w:tc>
          <w:tcPr>
            <w:tcW w:type="dxa" w:w="6912"/>
            <w:tcMar>
              <w:top w:w="90" w:type="dxa"/>
              <w:start w:w="110" w:type="dxa"/>
              <w:bottom w:w="90" w:type="dxa"/>
              <w:end w:w="110" w:type="dxa"/>
            </w:tcMar>
            <w:vAlign w:val="center"/>
          </w:tcPr>
          <w:p>
            <w:pPr>
              <w:spacing w:after="0"/>
            </w:pPr>
            <w:r>
              <w:rPr>
                <w:rFonts w:ascii="Arial" w:hAnsi="Arial"/>
                <w:sz w:val="19"/>
              </w:rPr>
              <w:t>2,65 mio. kr.</w:t>
            </w:r>
          </w:p>
        </w:tc>
      </w:tr>
      <w:tr>
        <w:tc>
          <w:tcPr>
            <w:tcW w:type="dxa" w:w="2880"/>
            <w:shd w:fill="EAF3F2"/>
            <w:tcMar>
              <w:top w:w="90" w:type="dxa"/>
              <w:start w:w="110" w:type="dxa"/>
              <w:bottom w:w="90" w:type="dxa"/>
              <w:end w:w="110" w:type="dxa"/>
            </w:tcMar>
            <w:vAlign w:val="center"/>
          </w:tcPr>
          <w:p>
            <w:pPr>
              <w:spacing w:after="0"/>
            </w:pPr>
            <w:r>
              <w:rPr>
                <w:rFonts w:ascii="Arial" w:hAnsi="Arial"/>
                <w:b/>
                <w:sz w:val="19"/>
              </w:rPr>
              <w:t>El og styring inkl. SCADA-integration</w:t>
            </w:r>
          </w:p>
        </w:tc>
        <w:tc>
          <w:tcPr>
            <w:tcW w:type="dxa" w:w="6912"/>
            <w:tcMar>
              <w:top w:w="90" w:type="dxa"/>
              <w:start w:w="110" w:type="dxa"/>
              <w:bottom w:w="90" w:type="dxa"/>
              <w:end w:w="110" w:type="dxa"/>
            </w:tcMar>
            <w:vAlign w:val="center"/>
          </w:tcPr>
          <w:p>
            <w:pPr>
              <w:spacing w:after="0"/>
            </w:pPr>
            <w:r>
              <w:rPr>
                <w:rFonts w:ascii="Arial" w:hAnsi="Arial"/>
                <w:sz w:val="19"/>
              </w:rPr>
              <w:t>0,95 mio. kr.</w:t>
            </w:r>
          </w:p>
        </w:tc>
      </w:tr>
      <w:tr>
        <w:tc>
          <w:tcPr>
            <w:tcW w:type="dxa" w:w="2880"/>
            <w:shd w:fill="EAF3F2"/>
            <w:tcMar>
              <w:top w:w="90" w:type="dxa"/>
              <w:start w:w="110" w:type="dxa"/>
              <w:bottom w:w="90" w:type="dxa"/>
              <w:end w:w="110" w:type="dxa"/>
            </w:tcMar>
            <w:vAlign w:val="center"/>
          </w:tcPr>
          <w:p>
            <w:pPr>
              <w:spacing w:after="0"/>
            </w:pPr>
            <w:r>
              <w:rPr>
                <w:rFonts w:ascii="Arial" w:hAnsi="Arial"/>
                <w:b/>
                <w:sz w:val="19"/>
              </w:rPr>
              <w:t>Montage, test og idriftsættelse</w:t>
            </w:r>
          </w:p>
        </w:tc>
        <w:tc>
          <w:tcPr>
            <w:tcW w:type="dxa" w:w="6912"/>
            <w:tcMar>
              <w:top w:w="90" w:type="dxa"/>
              <w:start w:w="110" w:type="dxa"/>
              <w:bottom w:w="90" w:type="dxa"/>
              <w:end w:w="110" w:type="dxa"/>
            </w:tcMar>
            <w:vAlign w:val="center"/>
          </w:tcPr>
          <w:p>
            <w:pPr>
              <w:spacing w:after="0"/>
            </w:pPr>
            <w:r>
              <w:rPr>
                <w:rFonts w:ascii="Arial" w:hAnsi="Arial"/>
                <w:sz w:val="19"/>
              </w:rPr>
              <w:t>0,70 mio. kr.</w:t>
            </w:r>
          </w:p>
        </w:tc>
      </w:tr>
      <w:tr>
        <w:tc>
          <w:tcPr>
            <w:tcW w:type="dxa" w:w="2880"/>
            <w:shd w:fill="EAF3F2"/>
            <w:tcMar>
              <w:top w:w="90" w:type="dxa"/>
              <w:start w:w="110" w:type="dxa"/>
              <w:bottom w:w="90" w:type="dxa"/>
              <w:end w:w="110" w:type="dxa"/>
            </w:tcMar>
            <w:vAlign w:val="center"/>
          </w:tcPr>
          <w:p>
            <w:pPr>
              <w:spacing w:after="0"/>
            </w:pPr>
            <w:r>
              <w:rPr>
                <w:rFonts w:ascii="Arial" w:hAnsi="Arial"/>
                <w:b/>
                <w:sz w:val="19"/>
              </w:rPr>
              <w:t>Projektledelse og reserve</w:t>
            </w:r>
          </w:p>
        </w:tc>
        <w:tc>
          <w:tcPr>
            <w:tcW w:type="dxa" w:w="6912"/>
            <w:tcMar>
              <w:top w:w="90" w:type="dxa"/>
              <w:start w:w="110" w:type="dxa"/>
              <w:bottom w:w="90" w:type="dxa"/>
              <w:end w:w="110" w:type="dxa"/>
            </w:tcMar>
            <w:vAlign w:val="center"/>
          </w:tcPr>
          <w:p>
            <w:pPr>
              <w:spacing w:after="0"/>
            </w:pPr>
            <w:r>
              <w:rPr>
                <w:rFonts w:ascii="Arial" w:hAnsi="Arial"/>
                <w:sz w:val="19"/>
              </w:rPr>
              <w:t>0,50 mio. kr.</w:t>
            </w:r>
          </w:p>
        </w:tc>
      </w:tr>
      <w:tr>
        <w:tc>
          <w:tcPr>
            <w:tcW w:type="dxa" w:w="2880"/>
            <w:shd w:fill="EAF3F2"/>
            <w:tcMar>
              <w:top w:w="90" w:type="dxa"/>
              <w:start w:w="110" w:type="dxa"/>
              <w:bottom w:w="90" w:type="dxa"/>
              <w:end w:w="110" w:type="dxa"/>
            </w:tcMar>
            <w:vAlign w:val="center"/>
          </w:tcPr>
          <w:p>
            <w:pPr>
              <w:spacing w:after="0"/>
            </w:pPr>
            <w:r>
              <w:rPr>
                <w:rFonts w:ascii="Arial" w:hAnsi="Arial"/>
                <w:b/>
                <w:sz w:val="19"/>
              </w:rPr>
              <w:t>I alt</w:t>
            </w:r>
          </w:p>
        </w:tc>
        <w:tc>
          <w:tcPr>
            <w:tcW w:type="dxa" w:w="6912"/>
            <w:tcMar>
              <w:top w:w="90" w:type="dxa"/>
              <w:start w:w="110" w:type="dxa"/>
              <w:bottom w:w="90" w:type="dxa"/>
              <w:end w:w="110" w:type="dxa"/>
            </w:tcMar>
            <w:vAlign w:val="center"/>
          </w:tcPr>
          <w:p>
            <w:pPr>
              <w:spacing w:after="0"/>
            </w:pPr>
            <w:r>
              <w:rPr>
                <w:rFonts w:ascii="Arial" w:hAnsi="Arial"/>
                <w:sz w:val="19"/>
              </w:rPr>
              <w:t>4,80 mio. kr.</w:t>
            </w:r>
          </w:p>
        </w:tc>
      </w:tr>
    </w:tbl>
    <w:p/>
    <w:p>
      <w:pPr>
        <w:pStyle w:val="Heading1"/>
      </w:pPr>
      <w:r>
        <w:t>Risici og åbne punkter</w:t>
      </w:r>
    </w:p>
    <w:p>
      <w:pPr>
        <w:pStyle w:val="ListBullet"/>
        <w:ind w:left="0"/>
      </w:pPr>
      <w:r>
        <w:t>Sparepotentialet er ikke verificeret ved uafhængig måling.</w:t>
      </w:r>
    </w:p>
    <w:p>
      <w:pPr>
        <w:pStyle w:val="ListBullet"/>
        <w:ind w:left="0"/>
      </w:pPr>
      <w:r>
        <w:t>Tilstanden på to afspærringsventiler kendes ikke fuldt ud.</w:t>
      </w:r>
    </w:p>
    <w:p>
      <w:pPr>
        <w:pStyle w:val="ListBullet"/>
        <w:ind w:left="0"/>
      </w:pPr>
      <w:r>
        <w:t>Endelig plan for midlertidig drift under udskiftningen er ikke færdig.</w:t>
      </w:r>
    </w:p>
    <w:p>
      <w:pPr>
        <w:pStyle w:val="ListBullet"/>
        <w:ind w:left="0"/>
      </w:pPr>
      <w:r>
        <w:t>Forslaget omfatter ikke bygningsmæssige ændringer ud over mindre fundamentarbejde.</w:t>
      </w:r>
    </w:p>
    <w:p>
      <w:pPr>
        <w:pStyle w:val="Heading1"/>
      </w:pPr>
      <w:r>
        <w:t>Leverandørens anbefaling</w:t>
      </w:r>
    </w:p>
    <w:p>
      <w:r>
        <w:t>Leverandøren anbefaler fuld udskiftning nu for at undgå flere delprojekter og for at sikre samme styringsprincip på alle tre pumper. Forventet teknisk levetid er angivet til 15-20 år afhængigt af drift og vedligehold.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77777"/>
        <w:sz w:val="16"/>
      </w:rPr>
      <w:t>Dansk Fjernvarme | ChatGPT og AI for begyndere | Fiktivt øvelsesmateriale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5957"/>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3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595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